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2747"/>
        <w:gridCol w:w="1566"/>
        <w:gridCol w:w="1673"/>
        <w:gridCol w:w="1161"/>
        <w:gridCol w:w="2629"/>
      </w:tblGrid>
      <w:tr w:rsidR="00492532" w:rsidRPr="00D90064" w14:paraId="065B6536" w14:textId="73F39938" w:rsidTr="00922F96">
        <w:trPr>
          <w:jc w:val="center"/>
        </w:trPr>
        <w:tc>
          <w:tcPr>
            <w:tcW w:w="9776" w:type="dxa"/>
            <w:gridSpan w:val="5"/>
          </w:tcPr>
          <w:p w14:paraId="6349DC9F" w14:textId="35F7D0D6" w:rsidR="00492532" w:rsidRPr="00D90064" w:rsidRDefault="00492532" w:rsidP="00C9762C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Hlk151701576"/>
            <w:r w:rsidRPr="00D90064">
              <w:rPr>
                <w:rFonts w:asciiTheme="majorHAnsi" w:hAnsiTheme="majorHAnsi" w:cstheme="majorHAnsi"/>
                <w:b/>
                <w:bCs/>
              </w:rPr>
              <w:t>Nombre del comité local:</w:t>
            </w:r>
          </w:p>
        </w:tc>
      </w:tr>
      <w:tr w:rsidR="00492532" w:rsidRPr="00D90064" w14:paraId="5AC88E3E" w14:textId="23A1B387" w:rsidTr="00922F96">
        <w:trPr>
          <w:jc w:val="center"/>
        </w:trPr>
        <w:tc>
          <w:tcPr>
            <w:tcW w:w="9776" w:type="dxa"/>
            <w:gridSpan w:val="5"/>
          </w:tcPr>
          <w:p w14:paraId="0D710DE0" w14:textId="695AC3C8" w:rsidR="00492532" w:rsidRPr="00D90064" w:rsidRDefault="00492532" w:rsidP="00C9762C">
            <w:pPr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 xml:space="preserve">Año del Plan de Trabajo: </w:t>
            </w:r>
          </w:p>
        </w:tc>
      </w:tr>
      <w:tr w:rsidR="00492532" w:rsidRPr="00D90064" w14:paraId="071304B8" w14:textId="452DF6F5" w:rsidTr="00922F96">
        <w:trPr>
          <w:jc w:val="center"/>
        </w:trPr>
        <w:tc>
          <w:tcPr>
            <w:tcW w:w="9776" w:type="dxa"/>
            <w:gridSpan w:val="5"/>
          </w:tcPr>
          <w:p w14:paraId="0F67F1C5" w14:textId="0BDC3A22" w:rsidR="00492532" w:rsidRPr="00D90064" w:rsidRDefault="00492532" w:rsidP="00C9762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Actividades por realizar durante el año de participación</w:t>
            </w:r>
          </w:p>
        </w:tc>
      </w:tr>
      <w:tr w:rsidR="003961F3" w:rsidRPr="00D90064" w14:paraId="50E930B7" w14:textId="21B2C119" w:rsidTr="00922F96">
        <w:trPr>
          <w:jc w:val="center"/>
        </w:trPr>
        <w:tc>
          <w:tcPr>
            <w:tcW w:w="2747" w:type="dxa"/>
            <w:vAlign w:val="center"/>
          </w:tcPr>
          <w:p w14:paraId="7FA8B06D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Parámetros / Subparámetros</w:t>
            </w:r>
          </w:p>
        </w:tc>
        <w:tc>
          <w:tcPr>
            <w:tcW w:w="1566" w:type="dxa"/>
            <w:vAlign w:val="center"/>
          </w:tcPr>
          <w:p w14:paraId="05853E89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Cantidad de actividades</w:t>
            </w:r>
          </w:p>
        </w:tc>
        <w:tc>
          <w:tcPr>
            <w:tcW w:w="1673" w:type="dxa"/>
            <w:vAlign w:val="center"/>
          </w:tcPr>
          <w:p w14:paraId="63BCC7D6" w14:textId="271A56F0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Responsable(s)</w:t>
            </w:r>
          </w:p>
        </w:tc>
        <w:tc>
          <w:tcPr>
            <w:tcW w:w="1161" w:type="dxa"/>
            <w:vAlign w:val="center"/>
          </w:tcPr>
          <w:p w14:paraId="5C4B542D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Fecha</w:t>
            </w:r>
          </w:p>
        </w:tc>
        <w:tc>
          <w:tcPr>
            <w:tcW w:w="2629" w:type="dxa"/>
          </w:tcPr>
          <w:p w14:paraId="4131ADB1" w14:textId="77777777" w:rsidR="00492532" w:rsidRDefault="00492532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5648A7D4" w14:textId="77777777" w:rsidR="007310F8" w:rsidRDefault="007310F8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Observaciones</w:t>
            </w:r>
          </w:p>
          <w:p w14:paraId="61A6AE34" w14:textId="004EBE81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492532" w:rsidRPr="00D90064" w14:paraId="75D8749A" w14:textId="5275DDBA" w:rsidTr="00922F96">
        <w:trPr>
          <w:jc w:val="center"/>
        </w:trPr>
        <w:tc>
          <w:tcPr>
            <w:tcW w:w="9776" w:type="dxa"/>
            <w:gridSpan w:val="5"/>
          </w:tcPr>
          <w:p w14:paraId="0EC80470" w14:textId="4CE3CE2E" w:rsidR="00492532" w:rsidRPr="00492532" w:rsidRDefault="00492532" w:rsidP="007310F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92532">
              <w:rPr>
                <w:rFonts w:asciiTheme="majorHAnsi" w:hAnsiTheme="majorHAnsi" w:cstheme="majorHAnsi"/>
                <w:b/>
                <w:bCs/>
              </w:rPr>
              <w:t>Calidad de agua de mar</w:t>
            </w:r>
          </w:p>
        </w:tc>
      </w:tr>
      <w:tr w:rsidR="003961F3" w:rsidRPr="00D90064" w14:paraId="122202AF" w14:textId="2A5EE454" w:rsidTr="00922F96">
        <w:trPr>
          <w:jc w:val="center"/>
        </w:trPr>
        <w:tc>
          <w:tcPr>
            <w:tcW w:w="2747" w:type="dxa"/>
            <w:vAlign w:val="center"/>
          </w:tcPr>
          <w:p w14:paraId="0BFE2019" w14:textId="77777777" w:rsidR="00492532" w:rsidRPr="00D90064" w:rsidRDefault="00492532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 xml:space="preserve">1.1 </w:t>
            </w:r>
            <w:r w:rsidRPr="00D90064">
              <w:rPr>
                <w:rFonts w:asciiTheme="majorHAnsi" w:hAnsiTheme="majorHAnsi" w:cstheme="majorHAnsi"/>
              </w:rPr>
              <w:t xml:space="preserve">El LNA - AyA lleva a cabo </w:t>
            </w:r>
            <w:r w:rsidRPr="007310F8">
              <w:rPr>
                <w:rFonts w:asciiTheme="majorHAnsi" w:hAnsiTheme="majorHAnsi" w:cstheme="majorHAnsi"/>
                <w:b/>
                <w:bCs/>
              </w:rPr>
              <w:t>una gira</w:t>
            </w:r>
            <w:r w:rsidRPr="00D90064">
              <w:rPr>
                <w:rFonts w:asciiTheme="majorHAnsi" w:hAnsiTheme="majorHAnsi" w:cstheme="majorHAnsi"/>
              </w:rPr>
              <w:t xml:space="preserve"> al año para playas recurrentes y </w:t>
            </w:r>
            <w:r w:rsidRPr="007310F8">
              <w:rPr>
                <w:rFonts w:asciiTheme="majorHAnsi" w:hAnsiTheme="majorHAnsi" w:cstheme="majorHAnsi"/>
                <w:b/>
                <w:bCs/>
              </w:rPr>
              <w:t>dos giras</w:t>
            </w:r>
            <w:r w:rsidRPr="00D90064">
              <w:rPr>
                <w:rFonts w:asciiTheme="majorHAnsi" w:hAnsiTheme="majorHAnsi" w:cstheme="majorHAnsi"/>
              </w:rPr>
              <w:t xml:space="preserve"> para playas nuevas (no inscritas en años anteriores), para recolectar muestras de agua de mar (según Procedimiento de Muestreo Simple de Aguas AYA-PT-019), con el objetivo de verificar que la calidad del agua de mar cumpla con los criterios establecidos en este manual.</w:t>
            </w:r>
          </w:p>
        </w:tc>
        <w:tc>
          <w:tcPr>
            <w:tcW w:w="1566" w:type="dxa"/>
            <w:vAlign w:val="center"/>
          </w:tcPr>
          <w:p w14:paraId="2F222524" w14:textId="25CA2AB4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1 o 2</w:t>
            </w:r>
            <w:r w:rsidR="007310F8">
              <w:rPr>
                <w:rFonts w:asciiTheme="majorHAnsi" w:hAnsiTheme="majorHAnsi" w:cstheme="majorHAnsi"/>
              </w:rPr>
              <w:t xml:space="preserve"> muestreos</w:t>
            </w:r>
            <w:r w:rsidRPr="00D90064">
              <w:rPr>
                <w:rFonts w:asciiTheme="majorHAnsi" w:hAnsiTheme="majorHAnsi" w:cstheme="majorHAnsi"/>
              </w:rPr>
              <w:t xml:space="preserve"> por año</w:t>
            </w:r>
          </w:p>
        </w:tc>
        <w:tc>
          <w:tcPr>
            <w:tcW w:w="1673" w:type="dxa"/>
            <w:vAlign w:val="center"/>
          </w:tcPr>
          <w:p w14:paraId="4BF7A98C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LNA</w:t>
            </w:r>
          </w:p>
        </w:tc>
        <w:tc>
          <w:tcPr>
            <w:tcW w:w="1161" w:type="dxa"/>
            <w:vAlign w:val="center"/>
          </w:tcPr>
          <w:p w14:paraId="77304708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Durante el periodo a evaluar</w:t>
            </w:r>
          </w:p>
        </w:tc>
        <w:tc>
          <w:tcPr>
            <w:tcW w:w="2629" w:type="dxa"/>
          </w:tcPr>
          <w:p w14:paraId="156A215E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30D6B638" w14:textId="238EC521" w:rsidTr="00922F96">
        <w:trPr>
          <w:jc w:val="center"/>
        </w:trPr>
        <w:tc>
          <w:tcPr>
            <w:tcW w:w="2747" w:type="dxa"/>
            <w:vAlign w:val="center"/>
          </w:tcPr>
          <w:p w14:paraId="3DCDA1F5" w14:textId="77777777" w:rsidR="00492532" w:rsidRPr="00D90064" w:rsidRDefault="00492532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 xml:space="preserve">1.2 </w:t>
            </w:r>
            <w:r w:rsidRPr="00D90064">
              <w:rPr>
                <w:rFonts w:asciiTheme="majorHAnsi" w:hAnsiTheme="majorHAnsi" w:cstheme="majorHAnsi"/>
              </w:rPr>
              <w:t>Los reportes de análisis de aguas realizados por el LNA se colocarán en una carpeta del ICT para que se puedan remitir los resultados a cada comité local.</w:t>
            </w:r>
          </w:p>
        </w:tc>
        <w:tc>
          <w:tcPr>
            <w:tcW w:w="1566" w:type="dxa"/>
            <w:vAlign w:val="center"/>
          </w:tcPr>
          <w:p w14:paraId="14CAF831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1 o 2 resultados por año</w:t>
            </w:r>
          </w:p>
        </w:tc>
        <w:tc>
          <w:tcPr>
            <w:tcW w:w="1673" w:type="dxa"/>
            <w:vAlign w:val="center"/>
          </w:tcPr>
          <w:p w14:paraId="49A02E84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LNA / ICT</w:t>
            </w:r>
          </w:p>
        </w:tc>
        <w:tc>
          <w:tcPr>
            <w:tcW w:w="1161" w:type="dxa"/>
            <w:vAlign w:val="center"/>
          </w:tcPr>
          <w:p w14:paraId="21255911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Durante el periodo a evaluar</w:t>
            </w:r>
          </w:p>
        </w:tc>
        <w:tc>
          <w:tcPr>
            <w:tcW w:w="2629" w:type="dxa"/>
          </w:tcPr>
          <w:p w14:paraId="372D3C62" w14:textId="77777777" w:rsidR="00492532" w:rsidRPr="00D90064" w:rsidRDefault="00492532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92532" w:rsidRPr="00D90064" w14:paraId="40E0DE03" w14:textId="5D725AAF" w:rsidTr="00922F96">
        <w:trPr>
          <w:jc w:val="center"/>
        </w:trPr>
        <w:tc>
          <w:tcPr>
            <w:tcW w:w="9776" w:type="dxa"/>
            <w:gridSpan w:val="5"/>
          </w:tcPr>
          <w:p w14:paraId="070DD8AC" w14:textId="63189884" w:rsidR="00492532" w:rsidRPr="00D90064" w:rsidRDefault="00492532" w:rsidP="007310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Calidad del agua para consumo</w:t>
            </w:r>
          </w:p>
        </w:tc>
      </w:tr>
      <w:tr w:rsidR="003961F3" w:rsidRPr="00D90064" w14:paraId="015E4567" w14:textId="393E03F2" w:rsidTr="00922F96">
        <w:trPr>
          <w:jc w:val="center"/>
        </w:trPr>
        <w:tc>
          <w:tcPr>
            <w:tcW w:w="2747" w:type="dxa"/>
          </w:tcPr>
          <w:p w14:paraId="0DB1F5B4" w14:textId="72DDF4F1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2.1</w:t>
            </w:r>
            <w:r w:rsidRPr="00D90064">
              <w:rPr>
                <w:rFonts w:asciiTheme="majorHAnsi" w:hAnsiTheme="majorHAnsi" w:cstheme="majorHAnsi"/>
              </w:rPr>
              <w:t xml:space="preserve"> Identificar el ente operador que brinda este servicio y solicitarles los análisis que se han llevado a cabo durante el año de participación, para verificar que el agua de consumo en la playa sea potable. En caso de que sea fuente propi</w:t>
            </w:r>
            <w:r>
              <w:rPr>
                <w:rFonts w:asciiTheme="majorHAnsi" w:hAnsiTheme="majorHAnsi" w:cstheme="majorHAnsi"/>
              </w:rPr>
              <w:t>a</w:t>
            </w:r>
            <w:r w:rsidRPr="00D90064">
              <w:rPr>
                <w:rFonts w:asciiTheme="majorHAnsi" w:hAnsiTheme="majorHAnsi" w:cstheme="majorHAnsi"/>
              </w:rPr>
              <w:t xml:space="preserve"> (pozo), deben colocar los análisis que le han llevado a cabo. </w:t>
            </w:r>
          </w:p>
        </w:tc>
        <w:tc>
          <w:tcPr>
            <w:tcW w:w="1566" w:type="dxa"/>
            <w:vAlign w:val="center"/>
          </w:tcPr>
          <w:p w14:paraId="7F2BC158" w14:textId="7AC933CA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Análisis de ACH</w:t>
            </w:r>
          </w:p>
        </w:tc>
        <w:tc>
          <w:tcPr>
            <w:tcW w:w="1673" w:type="dxa"/>
            <w:vAlign w:val="center"/>
          </w:tcPr>
          <w:p w14:paraId="4CA54DB2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 xml:space="preserve">Comité </w:t>
            </w:r>
            <w:r>
              <w:rPr>
                <w:rFonts w:asciiTheme="majorHAnsi" w:hAnsiTheme="majorHAnsi" w:cstheme="majorHAnsi"/>
              </w:rPr>
              <w:t>l</w:t>
            </w:r>
            <w:r w:rsidRPr="00D90064">
              <w:rPr>
                <w:rFonts w:asciiTheme="majorHAnsi" w:hAnsiTheme="majorHAnsi" w:cstheme="majorHAnsi"/>
              </w:rPr>
              <w:t>ocal - LNA</w:t>
            </w:r>
          </w:p>
        </w:tc>
        <w:tc>
          <w:tcPr>
            <w:tcW w:w="1161" w:type="dxa"/>
            <w:vAlign w:val="center"/>
          </w:tcPr>
          <w:p w14:paraId="7CA281E6" w14:textId="75DD21E5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Durante el periodo a evaluar</w:t>
            </w:r>
          </w:p>
        </w:tc>
        <w:tc>
          <w:tcPr>
            <w:tcW w:w="2629" w:type="dxa"/>
          </w:tcPr>
          <w:p w14:paraId="1B2A1D01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7862EDAC" w14:textId="39A76AC8" w:rsidTr="00922F96">
        <w:trPr>
          <w:jc w:val="center"/>
        </w:trPr>
        <w:tc>
          <w:tcPr>
            <w:tcW w:w="2747" w:type="dxa"/>
          </w:tcPr>
          <w:p w14:paraId="189922D0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 xml:space="preserve">2.2 </w:t>
            </w:r>
            <w:r w:rsidRPr="00D90064">
              <w:rPr>
                <w:rFonts w:asciiTheme="majorHAnsi" w:eastAsia="Arial MT" w:hAnsiTheme="majorHAnsi" w:cstheme="majorHAnsi"/>
              </w:rPr>
              <w:t>Coordinar con los organismos competentes para que brinden charlas sobre la importancia de contar con agua</w:t>
            </w:r>
            <w:r w:rsidRPr="00D90064">
              <w:rPr>
                <w:rFonts w:asciiTheme="majorHAnsi" w:hAnsiTheme="majorHAnsi" w:cstheme="majorHAnsi"/>
              </w:rPr>
              <w:t xml:space="preserve"> potable en la playa.</w:t>
            </w:r>
          </w:p>
        </w:tc>
        <w:tc>
          <w:tcPr>
            <w:tcW w:w="1566" w:type="dxa"/>
            <w:vAlign w:val="center"/>
          </w:tcPr>
          <w:p w14:paraId="45D9475A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vAlign w:val="center"/>
          </w:tcPr>
          <w:p w14:paraId="3B93191B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 xml:space="preserve">Comité </w:t>
            </w:r>
            <w:r>
              <w:rPr>
                <w:rFonts w:asciiTheme="majorHAnsi" w:hAnsiTheme="majorHAnsi" w:cstheme="majorHAnsi"/>
              </w:rPr>
              <w:t>l</w:t>
            </w:r>
            <w:r w:rsidRPr="00D90064">
              <w:rPr>
                <w:rFonts w:asciiTheme="majorHAnsi" w:hAnsiTheme="majorHAnsi" w:cstheme="majorHAnsi"/>
              </w:rPr>
              <w:t>ocal</w:t>
            </w:r>
          </w:p>
        </w:tc>
        <w:tc>
          <w:tcPr>
            <w:tcW w:w="1161" w:type="dxa"/>
            <w:vAlign w:val="center"/>
          </w:tcPr>
          <w:p w14:paraId="1536F508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66B85611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0775FC88" w14:textId="48CABB18" w:rsidTr="00922F96">
        <w:trPr>
          <w:jc w:val="center"/>
        </w:trPr>
        <w:tc>
          <w:tcPr>
            <w:tcW w:w="2747" w:type="dxa"/>
          </w:tcPr>
          <w:p w14:paraId="1B8851CA" w14:textId="1FD11C1A" w:rsidR="007310F8" w:rsidRPr="00D90064" w:rsidRDefault="007310F8" w:rsidP="007310F8">
            <w:pPr>
              <w:pStyle w:val="TableParagraph"/>
              <w:tabs>
                <w:tab w:val="left" w:pos="550"/>
                <w:tab w:val="left" w:pos="1574"/>
                <w:tab w:val="left" w:pos="2120"/>
                <w:tab w:val="left" w:pos="2501"/>
                <w:tab w:val="left" w:pos="3367"/>
              </w:tabs>
              <w:spacing w:line="276" w:lineRule="auto"/>
              <w:ind w:right="166"/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lastRenderedPageBreak/>
              <w:t>2.3</w:t>
            </w:r>
            <w:r w:rsidRPr="00D90064">
              <w:rPr>
                <w:rFonts w:asciiTheme="majorHAnsi" w:hAnsiTheme="majorHAnsi" w:cstheme="majorHAnsi"/>
              </w:rPr>
              <w:t xml:space="preserve"> Gestionar</w:t>
            </w:r>
            <w:r w:rsidRPr="00D90064">
              <w:rPr>
                <w:rFonts w:asciiTheme="majorHAnsi" w:hAnsiTheme="majorHAnsi" w:cstheme="majorHAnsi"/>
              </w:rPr>
              <w:tab/>
              <w:t>que</w:t>
            </w:r>
            <w:r w:rsidRPr="00D90064">
              <w:rPr>
                <w:rFonts w:asciiTheme="majorHAnsi" w:hAnsiTheme="majorHAnsi" w:cstheme="majorHAnsi"/>
              </w:rPr>
              <w:tab/>
              <w:t>el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sistema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de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abastecimiento se</w:t>
            </w:r>
            <w:r>
              <w:rPr>
                <w:rFonts w:asciiTheme="majorHAnsi" w:hAnsiTheme="majorHAnsi" w:cstheme="majorHAnsi"/>
              </w:rPr>
              <w:t>a</w:t>
            </w:r>
            <w:r w:rsidRPr="00D90064">
              <w:rPr>
                <w:rFonts w:asciiTheme="majorHAnsi" w:hAnsiTheme="majorHAnsi" w:cstheme="majorHAnsi"/>
              </w:rPr>
              <w:t xml:space="preserve"> sometido a vigilancia y/o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control de calidad.</w:t>
            </w:r>
          </w:p>
        </w:tc>
        <w:tc>
          <w:tcPr>
            <w:tcW w:w="1566" w:type="dxa"/>
            <w:vAlign w:val="center"/>
          </w:tcPr>
          <w:p w14:paraId="57B66149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vAlign w:val="center"/>
          </w:tcPr>
          <w:p w14:paraId="0ABF227C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 xml:space="preserve">Comité </w:t>
            </w:r>
            <w:r>
              <w:rPr>
                <w:rFonts w:asciiTheme="majorHAnsi" w:hAnsiTheme="majorHAnsi" w:cstheme="majorHAnsi"/>
              </w:rPr>
              <w:t>l</w:t>
            </w:r>
            <w:r w:rsidRPr="00D90064">
              <w:rPr>
                <w:rFonts w:asciiTheme="majorHAnsi" w:hAnsiTheme="majorHAnsi" w:cstheme="majorHAnsi"/>
              </w:rPr>
              <w:t>ocal</w:t>
            </w:r>
          </w:p>
        </w:tc>
        <w:tc>
          <w:tcPr>
            <w:tcW w:w="1161" w:type="dxa"/>
            <w:vAlign w:val="center"/>
          </w:tcPr>
          <w:p w14:paraId="619AB747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2478574B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3D0BB21E" w14:textId="37B9AE57" w:rsidTr="00922F96">
        <w:trPr>
          <w:jc w:val="center"/>
        </w:trPr>
        <w:tc>
          <w:tcPr>
            <w:tcW w:w="2747" w:type="dxa"/>
          </w:tcPr>
          <w:p w14:paraId="5465A9CC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2.4</w:t>
            </w:r>
            <w:r w:rsidRPr="00D90064"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Procurar que el acueducto suministra</w:t>
            </w:r>
            <w:r w:rsidRPr="00D90064">
              <w:rPr>
                <w:rFonts w:asciiTheme="majorHAnsi" w:hAnsiTheme="majorHAnsi" w:cstheme="majorHAnsi"/>
              </w:rPr>
              <w:t xml:space="preserve"> agua en forma continua.</w:t>
            </w:r>
          </w:p>
        </w:tc>
        <w:tc>
          <w:tcPr>
            <w:tcW w:w="1566" w:type="dxa"/>
            <w:vAlign w:val="center"/>
          </w:tcPr>
          <w:p w14:paraId="5B2FE062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vAlign w:val="center"/>
          </w:tcPr>
          <w:p w14:paraId="56BFF14F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 xml:space="preserve">Comité </w:t>
            </w:r>
            <w:r>
              <w:rPr>
                <w:rFonts w:asciiTheme="majorHAnsi" w:hAnsiTheme="majorHAnsi" w:cstheme="majorHAnsi"/>
              </w:rPr>
              <w:t>l</w:t>
            </w:r>
            <w:r w:rsidRPr="00D90064">
              <w:rPr>
                <w:rFonts w:asciiTheme="majorHAnsi" w:hAnsiTheme="majorHAnsi" w:cstheme="majorHAnsi"/>
              </w:rPr>
              <w:t>ocal</w:t>
            </w:r>
          </w:p>
        </w:tc>
        <w:tc>
          <w:tcPr>
            <w:tcW w:w="1161" w:type="dxa"/>
            <w:vAlign w:val="center"/>
          </w:tcPr>
          <w:p w14:paraId="1C993825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69620E21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10F8" w:rsidRPr="00D90064" w14:paraId="6086B0B2" w14:textId="71C4EF9D" w:rsidTr="00922F96">
        <w:trPr>
          <w:jc w:val="center"/>
        </w:trPr>
        <w:tc>
          <w:tcPr>
            <w:tcW w:w="9776" w:type="dxa"/>
            <w:gridSpan w:val="5"/>
          </w:tcPr>
          <w:p w14:paraId="2B293BE5" w14:textId="537FFA1A" w:rsidR="007310F8" w:rsidRPr="00D90064" w:rsidRDefault="007310F8" w:rsidP="007310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Calidad sanitaria de la costa</w:t>
            </w:r>
          </w:p>
        </w:tc>
      </w:tr>
      <w:tr w:rsidR="007310F8" w:rsidRPr="00D90064" w14:paraId="6174747F" w14:textId="67EB7C5B" w:rsidTr="00922F96">
        <w:trPr>
          <w:jc w:val="center"/>
        </w:trPr>
        <w:tc>
          <w:tcPr>
            <w:tcW w:w="9776" w:type="dxa"/>
            <w:gridSpan w:val="5"/>
          </w:tcPr>
          <w:p w14:paraId="500EA9CA" w14:textId="69E42AA6" w:rsidR="007310F8" w:rsidRPr="00D90064" w:rsidRDefault="007310F8" w:rsidP="007310F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Theme="majorHAnsi" w:hAnsiTheme="majorHAnsi" w:cstheme="majorHAnsi"/>
                <w:b/>
              </w:rPr>
            </w:pPr>
            <w:r w:rsidRPr="00D90064">
              <w:rPr>
                <w:rFonts w:asciiTheme="majorHAnsi" w:hAnsiTheme="majorHAnsi" w:cstheme="majorHAnsi"/>
                <w:b/>
              </w:rPr>
              <w:t>Residuos no valorizables</w:t>
            </w:r>
            <w:r>
              <w:rPr>
                <w:rStyle w:val="Refdenotaalpie"/>
                <w:rFonts w:asciiTheme="majorHAnsi" w:hAnsiTheme="majorHAnsi" w:cstheme="majorHAnsi"/>
                <w:b/>
              </w:rPr>
              <w:footnoteReference w:id="1"/>
            </w:r>
          </w:p>
        </w:tc>
      </w:tr>
      <w:tr w:rsidR="003961F3" w:rsidRPr="00D90064" w14:paraId="36667E26" w14:textId="5D949873" w:rsidTr="00922F96">
        <w:trPr>
          <w:jc w:val="center"/>
        </w:trPr>
        <w:tc>
          <w:tcPr>
            <w:tcW w:w="2747" w:type="dxa"/>
            <w:vAlign w:val="center"/>
          </w:tcPr>
          <w:p w14:paraId="4BA61F9A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3.1.1</w:t>
            </w:r>
            <w:r w:rsidRPr="00D90064">
              <w:rPr>
                <w:rFonts w:asciiTheme="majorHAnsi" w:hAnsiTheme="majorHAnsi" w:cstheme="majorHAnsi"/>
              </w:rPr>
              <w:t xml:space="preserve"> Coordinar</w:t>
            </w:r>
            <w:r w:rsidRPr="00D90064">
              <w:rPr>
                <w:rFonts w:asciiTheme="majorHAnsi" w:hAnsiTheme="majorHAnsi" w:cstheme="majorHAnsi"/>
                <w:spacing w:val="7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campañas</w:t>
            </w:r>
            <w:r w:rsidRPr="00D90064">
              <w:rPr>
                <w:rFonts w:asciiTheme="majorHAnsi" w:hAnsiTheme="majorHAnsi" w:cstheme="majorHAnsi"/>
                <w:spacing w:val="8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de</w:t>
            </w:r>
            <w:r w:rsidRPr="00D90064">
              <w:rPr>
                <w:rFonts w:asciiTheme="majorHAnsi" w:hAnsiTheme="majorHAnsi" w:cstheme="majorHAnsi"/>
                <w:spacing w:val="8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limpieza</w:t>
            </w:r>
            <w:r w:rsidRPr="00D90064">
              <w:rPr>
                <w:rFonts w:asciiTheme="majorHAnsi" w:hAnsiTheme="majorHAnsi" w:cstheme="majorHAnsi"/>
                <w:spacing w:val="8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de</w:t>
            </w:r>
            <w:r w:rsidRPr="00D90064">
              <w:rPr>
                <w:rFonts w:asciiTheme="majorHAnsi" w:hAnsiTheme="majorHAnsi" w:cstheme="majorHAnsi"/>
                <w:spacing w:val="8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los desechos</w:t>
            </w:r>
            <w:r w:rsidRPr="00D90064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inorgánicos</w:t>
            </w:r>
            <w:r w:rsidRPr="00D90064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en</w:t>
            </w:r>
            <w:r w:rsidRPr="00D90064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la</w:t>
            </w:r>
            <w:r w:rsidRPr="00D90064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playa.</w:t>
            </w:r>
          </w:p>
        </w:tc>
        <w:tc>
          <w:tcPr>
            <w:tcW w:w="1566" w:type="dxa"/>
            <w:vAlign w:val="center"/>
          </w:tcPr>
          <w:p w14:paraId="3F172D43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vAlign w:val="center"/>
          </w:tcPr>
          <w:p w14:paraId="773046C4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  <w:vAlign w:val="center"/>
          </w:tcPr>
          <w:p w14:paraId="1217CED5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28A96D76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11696027" w14:textId="06D9211C" w:rsidTr="00922F96">
        <w:trPr>
          <w:jc w:val="center"/>
        </w:trPr>
        <w:tc>
          <w:tcPr>
            <w:tcW w:w="2747" w:type="dxa"/>
            <w:vAlign w:val="center"/>
          </w:tcPr>
          <w:p w14:paraId="15023732" w14:textId="2507E05A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3.1.2</w:t>
            </w:r>
            <w:r w:rsidRPr="00D90064">
              <w:rPr>
                <w:rFonts w:asciiTheme="majorHAnsi" w:hAnsiTheme="majorHAnsi" w:cstheme="majorHAnsi"/>
              </w:rPr>
              <w:t xml:space="preserve"> Implementar estrategias de manejo adecuado de los </w:t>
            </w:r>
            <w:r w:rsidR="00965813">
              <w:rPr>
                <w:rFonts w:asciiTheme="majorHAnsi" w:hAnsiTheme="majorHAnsi" w:cstheme="majorHAnsi"/>
              </w:rPr>
              <w:t>residuos</w:t>
            </w:r>
            <w:r w:rsidRPr="00D90064">
              <w:rPr>
                <w:rFonts w:asciiTheme="majorHAnsi" w:hAnsiTheme="majorHAnsi" w:cstheme="majorHAnsi"/>
              </w:rPr>
              <w:t xml:space="preserve"> no valorizables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566" w:type="dxa"/>
            <w:vAlign w:val="center"/>
          </w:tcPr>
          <w:p w14:paraId="110C4645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vAlign w:val="center"/>
          </w:tcPr>
          <w:p w14:paraId="1EF07506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  <w:vAlign w:val="center"/>
          </w:tcPr>
          <w:p w14:paraId="09C62440" w14:textId="7777777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52D7EF76" w14:textId="46F2C667" w:rsidR="007310F8" w:rsidRPr="00D90064" w:rsidRDefault="007310F8" w:rsidP="007310F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10F8" w:rsidRPr="00D90064" w14:paraId="4A7F1AD6" w14:textId="410A55DD" w:rsidTr="00922F96">
        <w:trPr>
          <w:jc w:val="center"/>
        </w:trPr>
        <w:tc>
          <w:tcPr>
            <w:tcW w:w="9776" w:type="dxa"/>
            <w:gridSpan w:val="5"/>
          </w:tcPr>
          <w:p w14:paraId="448CCA83" w14:textId="018CD665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D90064">
              <w:rPr>
                <w:rFonts w:asciiTheme="majorHAnsi" w:hAnsiTheme="majorHAnsi" w:cstheme="majorHAnsi"/>
                <w:b/>
              </w:rPr>
              <w:t>3.2 Recipientes</w:t>
            </w:r>
            <w:r>
              <w:rPr>
                <w:rFonts w:asciiTheme="majorHAnsi" w:hAnsiTheme="majorHAnsi" w:cstheme="majorHAnsi"/>
                <w:b/>
              </w:rPr>
              <w:t xml:space="preserve"> para depósito</w:t>
            </w:r>
            <w:r w:rsidRPr="00D90064">
              <w:rPr>
                <w:rFonts w:asciiTheme="majorHAnsi" w:hAnsiTheme="majorHAnsi" w:cstheme="majorHAnsi"/>
                <w:b/>
              </w:rPr>
              <w:t xml:space="preserve"> o estrategia de gestión de residuos</w:t>
            </w:r>
          </w:p>
        </w:tc>
      </w:tr>
      <w:tr w:rsidR="003961F3" w:rsidRPr="00D90064" w14:paraId="04FA2E35" w14:textId="6841EB83" w:rsidTr="00922F96">
        <w:trPr>
          <w:jc w:val="center"/>
        </w:trPr>
        <w:tc>
          <w:tcPr>
            <w:tcW w:w="2747" w:type="dxa"/>
          </w:tcPr>
          <w:p w14:paraId="09355917" w14:textId="488A7695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3.2.1</w:t>
            </w:r>
            <w:r w:rsidRPr="00D90064"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Dotar</w:t>
            </w:r>
            <w:r w:rsidRPr="00D90064">
              <w:rPr>
                <w:rFonts w:asciiTheme="majorHAnsi" w:eastAsia="Arial MT" w:hAnsiTheme="majorHAnsi" w:cstheme="majorHAnsi"/>
                <w:spacing w:val="15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de</w:t>
            </w:r>
            <w:r w:rsidRPr="00D90064">
              <w:rPr>
                <w:rFonts w:asciiTheme="majorHAnsi" w:eastAsia="Arial MT" w:hAnsiTheme="majorHAnsi" w:cstheme="majorHAnsi"/>
                <w:spacing w:val="15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suficientes</w:t>
            </w:r>
            <w:r w:rsidRPr="00D90064">
              <w:rPr>
                <w:rFonts w:asciiTheme="majorHAnsi" w:eastAsia="Arial MT" w:hAnsiTheme="majorHAnsi" w:cstheme="majorHAnsi"/>
                <w:spacing w:val="15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recipientes</w:t>
            </w:r>
            <w:r w:rsidRPr="00D90064">
              <w:rPr>
                <w:rFonts w:asciiTheme="majorHAnsi" w:eastAsia="Arial MT" w:hAnsiTheme="majorHAnsi" w:cstheme="majorHAnsi"/>
                <w:spacing w:val="18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para</w:t>
            </w:r>
            <w:r w:rsidRPr="00D90064">
              <w:rPr>
                <w:rFonts w:asciiTheme="majorHAnsi" w:eastAsia="Arial MT" w:hAnsiTheme="majorHAnsi" w:cstheme="majorHAnsi"/>
                <w:spacing w:val="18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la recolección</w:t>
            </w:r>
            <w:r w:rsidRPr="00D90064">
              <w:rPr>
                <w:rFonts w:asciiTheme="majorHAnsi" w:eastAsia="Arial MT" w:hAnsiTheme="majorHAnsi" w:cstheme="majorHAnsi"/>
                <w:spacing w:val="8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de</w:t>
            </w:r>
            <w:r w:rsidRPr="00D90064">
              <w:rPr>
                <w:rFonts w:asciiTheme="majorHAnsi" w:eastAsia="Arial MT" w:hAnsiTheme="majorHAnsi" w:cstheme="majorHAnsi"/>
                <w:spacing w:val="7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los</w:t>
            </w:r>
            <w:r w:rsidRPr="00D90064">
              <w:rPr>
                <w:rFonts w:asciiTheme="majorHAnsi" w:eastAsia="Arial MT" w:hAnsiTheme="majorHAnsi" w:cstheme="majorHAnsi"/>
                <w:spacing w:val="8"/>
              </w:rPr>
              <w:t xml:space="preserve"> </w:t>
            </w:r>
            <w:r>
              <w:rPr>
                <w:rFonts w:asciiTheme="majorHAnsi" w:eastAsia="Arial MT" w:hAnsiTheme="majorHAnsi" w:cstheme="majorHAnsi"/>
              </w:rPr>
              <w:t xml:space="preserve">residuos </w:t>
            </w:r>
            <w:r w:rsidRPr="00D90064">
              <w:rPr>
                <w:rFonts w:asciiTheme="majorHAnsi" w:eastAsia="Arial MT" w:hAnsiTheme="majorHAnsi" w:cstheme="majorHAnsi"/>
              </w:rPr>
              <w:t xml:space="preserve">no valorizables en la playa. </w:t>
            </w:r>
          </w:p>
        </w:tc>
        <w:tc>
          <w:tcPr>
            <w:tcW w:w="1566" w:type="dxa"/>
          </w:tcPr>
          <w:p w14:paraId="5EA7768F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597C366C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0D40AB59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43F4FE52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576091E7" w14:textId="28CD61B0" w:rsidTr="00922F96">
        <w:trPr>
          <w:jc w:val="center"/>
        </w:trPr>
        <w:tc>
          <w:tcPr>
            <w:tcW w:w="2747" w:type="dxa"/>
          </w:tcPr>
          <w:p w14:paraId="0CCB5590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3.2.2</w:t>
            </w:r>
            <w:r w:rsidRPr="00D90064">
              <w:rPr>
                <w:rFonts w:asciiTheme="majorHAnsi" w:hAnsiTheme="majorHAnsi" w:cstheme="majorHAnsi"/>
              </w:rPr>
              <w:t xml:space="preserve"> Contar con una estrategia o política de gestión de residuos sólidos.</w:t>
            </w:r>
          </w:p>
        </w:tc>
        <w:tc>
          <w:tcPr>
            <w:tcW w:w="1566" w:type="dxa"/>
          </w:tcPr>
          <w:p w14:paraId="6F9E3287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23054E3F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1D977B44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6A2964DE" w14:textId="51B279AD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65813" w:rsidRPr="00D90064" w14:paraId="7817B205" w14:textId="77777777" w:rsidTr="00A111E5">
        <w:trPr>
          <w:jc w:val="center"/>
        </w:trPr>
        <w:tc>
          <w:tcPr>
            <w:tcW w:w="9776" w:type="dxa"/>
            <w:gridSpan w:val="5"/>
          </w:tcPr>
          <w:p w14:paraId="2667D308" w14:textId="13A2A96C" w:rsidR="00965813" w:rsidRPr="00360F9C" w:rsidRDefault="00965813" w:rsidP="007310F8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60F9C">
              <w:rPr>
                <w:rFonts w:asciiTheme="majorHAnsi" w:hAnsiTheme="majorHAnsi" w:cstheme="majorHAnsi"/>
                <w:b/>
                <w:bCs/>
                <w:i/>
                <w:iCs/>
              </w:rPr>
              <w:t>Consideración importante:</w:t>
            </w:r>
            <w:r w:rsidRPr="00360F9C">
              <w:rPr>
                <w:rFonts w:asciiTheme="majorHAnsi" w:hAnsiTheme="majorHAnsi" w:cstheme="majorHAnsi"/>
                <w:i/>
                <w:iCs/>
              </w:rPr>
              <w:t xml:space="preserve"> Favor indicar cuál de las dos estrategias aplicarán, la otra dejarla en blanco.</w:t>
            </w:r>
          </w:p>
        </w:tc>
      </w:tr>
      <w:tr w:rsidR="007310F8" w:rsidRPr="00D90064" w14:paraId="1FF609DA" w14:textId="510F80DF" w:rsidTr="00922F96">
        <w:trPr>
          <w:jc w:val="center"/>
        </w:trPr>
        <w:tc>
          <w:tcPr>
            <w:tcW w:w="9776" w:type="dxa"/>
            <w:gridSpan w:val="5"/>
          </w:tcPr>
          <w:p w14:paraId="5ACFDE40" w14:textId="3D15ADEA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  <w:b/>
              </w:rPr>
            </w:pPr>
            <w:bookmarkStart w:id="1" w:name="_Hlk151986943"/>
            <w:r w:rsidRPr="00D90064">
              <w:rPr>
                <w:rFonts w:asciiTheme="majorHAnsi" w:hAnsiTheme="majorHAnsi" w:cstheme="majorHAnsi"/>
                <w:b/>
              </w:rPr>
              <w:t>3.3 Vertidos</w:t>
            </w:r>
            <w:r w:rsidRPr="00D90064">
              <w:rPr>
                <w:rFonts w:asciiTheme="majorHAnsi" w:hAnsiTheme="majorHAnsi" w:cstheme="majorHAnsi"/>
                <w:b/>
                <w:spacing w:val="-4"/>
              </w:rPr>
              <w:t xml:space="preserve"> </w:t>
            </w:r>
            <w:r w:rsidRPr="00D90064">
              <w:rPr>
                <w:rFonts w:asciiTheme="majorHAnsi" w:hAnsiTheme="majorHAnsi" w:cstheme="majorHAnsi"/>
                <w:b/>
              </w:rPr>
              <w:t>industriales</w:t>
            </w:r>
          </w:p>
        </w:tc>
      </w:tr>
      <w:tr w:rsidR="003961F3" w:rsidRPr="00D90064" w14:paraId="4B3CF67C" w14:textId="738E2506" w:rsidTr="00922F96">
        <w:trPr>
          <w:jc w:val="center"/>
        </w:trPr>
        <w:tc>
          <w:tcPr>
            <w:tcW w:w="2747" w:type="dxa"/>
          </w:tcPr>
          <w:p w14:paraId="3CE4B80D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3.3.1</w:t>
            </w:r>
            <w:r w:rsidRPr="00D90064">
              <w:rPr>
                <w:rFonts w:asciiTheme="majorHAnsi" w:hAnsiTheme="majorHAnsi" w:cstheme="majorHAnsi"/>
              </w:rPr>
              <w:t xml:space="preserve"> Realizar inspecciones a los alrededores de la playa y verificar si existen descargas de aguas industriales a cuerpos de agua cercanos.</w:t>
            </w:r>
          </w:p>
        </w:tc>
        <w:tc>
          <w:tcPr>
            <w:tcW w:w="1566" w:type="dxa"/>
          </w:tcPr>
          <w:p w14:paraId="2D75ABFB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16538D2F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1E5C051D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2F2F46F9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310F8" w:rsidRPr="00D90064" w14:paraId="48240ADD" w14:textId="43C29899" w:rsidTr="00922F96">
        <w:trPr>
          <w:jc w:val="center"/>
        </w:trPr>
        <w:tc>
          <w:tcPr>
            <w:tcW w:w="9776" w:type="dxa"/>
            <w:gridSpan w:val="5"/>
          </w:tcPr>
          <w:p w14:paraId="1B64ECC4" w14:textId="5A4F341D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 xml:space="preserve"> 3.4 Descargas de aguas al mar</w:t>
            </w:r>
          </w:p>
        </w:tc>
      </w:tr>
      <w:tr w:rsidR="003961F3" w:rsidRPr="00D90064" w14:paraId="386DC415" w14:textId="09DBE41D" w:rsidTr="00922F96">
        <w:trPr>
          <w:jc w:val="center"/>
        </w:trPr>
        <w:tc>
          <w:tcPr>
            <w:tcW w:w="2747" w:type="dxa"/>
          </w:tcPr>
          <w:p w14:paraId="29C19242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3.4.1</w:t>
            </w:r>
            <w:r w:rsidRPr="00D90064"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Realizar</w:t>
            </w:r>
            <w:r w:rsidRPr="00D90064">
              <w:rPr>
                <w:rFonts w:asciiTheme="majorHAnsi" w:eastAsia="Arial MT" w:hAnsiTheme="majorHAnsi" w:cstheme="majorHAnsi"/>
                <w:spacing w:val="37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inspecciones</w:t>
            </w:r>
            <w:r w:rsidRPr="00D90064">
              <w:rPr>
                <w:rFonts w:asciiTheme="majorHAnsi" w:eastAsia="Arial MT" w:hAnsiTheme="majorHAnsi" w:cstheme="majorHAnsi"/>
                <w:spacing w:val="37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alrededor</w:t>
            </w:r>
            <w:r w:rsidRPr="00D90064">
              <w:rPr>
                <w:rFonts w:asciiTheme="majorHAnsi" w:eastAsia="Arial MT" w:hAnsiTheme="majorHAnsi" w:cstheme="majorHAnsi"/>
                <w:spacing w:val="34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de</w:t>
            </w:r>
            <w:r w:rsidRPr="00D90064">
              <w:rPr>
                <w:rFonts w:asciiTheme="majorHAnsi" w:eastAsia="Arial MT" w:hAnsiTheme="majorHAnsi" w:cstheme="majorHAnsi"/>
                <w:spacing w:val="36"/>
              </w:rPr>
              <w:t xml:space="preserve"> </w:t>
            </w:r>
            <w:r w:rsidRPr="00D90064">
              <w:rPr>
                <w:rFonts w:asciiTheme="majorHAnsi" w:eastAsia="Arial MT" w:hAnsiTheme="majorHAnsi" w:cstheme="majorHAnsi"/>
              </w:rPr>
              <w:t>la</w:t>
            </w:r>
            <w:r w:rsidRPr="00D90064">
              <w:rPr>
                <w:rFonts w:asciiTheme="majorHAnsi" w:hAnsiTheme="majorHAnsi" w:cstheme="majorHAnsi"/>
              </w:rPr>
              <w:t xml:space="preserve"> playa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para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verificar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si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hay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descargas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 xml:space="preserve">de </w:t>
            </w:r>
            <w:r w:rsidRPr="00D90064">
              <w:rPr>
                <w:rFonts w:asciiTheme="majorHAnsi" w:hAnsiTheme="majorHAnsi" w:cstheme="majorHAnsi"/>
                <w:spacing w:val="-47"/>
              </w:rPr>
              <w:t xml:space="preserve">   </w:t>
            </w:r>
            <w:r w:rsidRPr="00D90064">
              <w:rPr>
                <w:rFonts w:asciiTheme="majorHAnsi" w:hAnsiTheme="majorHAnsi" w:cstheme="majorHAnsi"/>
              </w:rPr>
              <w:t>aguas</w:t>
            </w:r>
            <w:r w:rsidRPr="00D90064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domésticas</w:t>
            </w:r>
            <w:r w:rsidRPr="00D90064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a cuerpos de agua cercanos.</w:t>
            </w:r>
          </w:p>
        </w:tc>
        <w:tc>
          <w:tcPr>
            <w:tcW w:w="1566" w:type="dxa"/>
          </w:tcPr>
          <w:p w14:paraId="0214BCE1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709EC17A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157158F1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53CAD5E5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65813" w:rsidRPr="00D90064" w14:paraId="7A04F4A8" w14:textId="277C9639" w:rsidTr="00E72B56">
        <w:trPr>
          <w:jc w:val="center"/>
        </w:trPr>
        <w:tc>
          <w:tcPr>
            <w:tcW w:w="2747" w:type="dxa"/>
          </w:tcPr>
          <w:p w14:paraId="66082BC0" w14:textId="77777777" w:rsidR="00965813" w:rsidRPr="00D90064" w:rsidRDefault="00965813" w:rsidP="00965813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3.4.2</w:t>
            </w:r>
            <w:r w:rsidRPr="00D90064">
              <w:rPr>
                <w:rFonts w:asciiTheme="majorHAnsi" w:hAnsiTheme="majorHAnsi" w:cstheme="majorHAnsi"/>
              </w:rPr>
              <w:t xml:space="preserve"> En los muestreos que lleve a cabo el personal del LNA, se identificarán y tomarán muestras de las descargas encontradas en los transeptos inscritos (desembocaduras de ríos, quebradas, esteros y otros </w:t>
            </w:r>
            <w:r w:rsidRPr="00D90064">
              <w:rPr>
                <w:rFonts w:asciiTheme="majorHAnsi" w:hAnsiTheme="majorHAnsi" w:cstheme="majorHAnsi"/>
              </w:rPr>
              <w:lastRenderedPageBreak/>
              <w:t>afines</w:t>
            </w:r>
          </w:p>
        </w:tc>
        <w:tc>
          <w:tcPr>
            <w:tcW w:w="1566" w:type="dxa"/>
          </w:tcPr>
          <w:p w14:paraId="62834196" w14:textId="77777777" w:rsidR="00965813" w:rsidRPr="00D90064" w:rsidRDefault="00965813" w:rsidP="0096581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  <w:vAlign w:val="center"/>
          </w:tcPr>
          <w:p w14:paraId="6077F35A" w14:textId="3B3A670C" w:rsidR="00965813" w:rsidRPr="00D90064" w:rsidRDefault="00965813" w:rsidP="00965813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LNA</w:t>
            </w:r>
          </w:p>
        </w:tc>
        <w:tc>
          <w:tcPr>
            <w:tcW w:w="1161" w:type="dxa"/>
            <w:vAlign w:val="center"/>
          </w:tcPr>
          <w:p w14:paraId="74BFB80E" w14:textId="4A8FFDB7" w:rsidR="00965813" w:rsidRPr="00D90064" w:rsidRDefault="00965813" w:rsidP="00965813">
            <w:pPr>
              <w:jc w:val="center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</w:rPr>
              <w:t>Durante el periodo a evaluar</w:t>
            </w:r>
          </w:p>
        </w:tc>
        <w:tc>
          <w:tcPr>
            <w:tcW w:w="2629" w:type="dxa"/>
          </w:tcPr>
          <w:p w14:paraId="719BCEFD" w14:textId="77777777" w:rsidR="00965813" w:rsidRPr="00D90064" w:rsidRDefault="00965813" w:rsidP="0096581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7CB3C181" w14:textId="0160A84A" w:rsidTr="00922F96">
        <w:trPr>
          <w:jc w:val="center"/>
        </w:trPr>
        <w:tc>
          <w:tcPr>
            <w:tcW w:w="2747" w:type="dxa"/>
          </w:tcPr>
          <w:p w14:paraId="2B2ACFBD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3.4.3</w:t>
            </w:r>
            <w:r w:rsidRPr="00D90064">
              <w:rPr>
                <w:rFonts w:asciiTheme="majorHAnsi" w:hAnsiTheme="majorHAnsi" w:cstheme="majorHAnsi"/>
              </w:rPr>
              <w:t xml:space="preserve"> Si se identifican descargas en los recorridos, deben realizar la denuncia correspondiente para que el ente encargado identifique estas fuentes de contaminación. </w:t>
            </w:r>
          </w:p>
        </w:tc>
        <w:tc>
          <w:tcPr>
            <w:tcW w:w="1566" w:type="dxa"/>
          </w:tcPr>
          <w:p w14:paraId="24703F22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0132BB0B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123E579C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7424D368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961F3" w:rsidRPr="00D90064" w14:paraId="7E6AA6B4" w14:textId="43CF2349" w:rsidTr="00922F96">
        <w:trPr>
          <w:jc w:val="center"/>
        </w:trPr>
        <w:tc>
          <w:tcPr>
            <w:tcW w:w="2747" w:type="dxa"/>
          </w:tcPr>
          <w:p w14:paraId="1713624C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3.4.4</w:t>
            </w:r>
            <w:r w:rsidRPr="00D90064">
              <w:rPr>
                <w:rFonts w:asciiTheme="majorHAnsi" w:hAnsiTheme="majorHAnsi" w:cstheme="majorHAnsi"/>
              </w:rPr>
              <w:t xml:space="preserve"> Identificar las instituciones gubernamentales y no gubernamentales en la zona, y grupos organizados de la zona, que puedan colaborar en estas gestiones. </w:t>
            </w:r>
          </w:p>
        </w:tc>
        <w:tc>
          <w:tcPr>
            <w:tcW w:w="1566" w:type="dxa"/>
          </w:tcPr>
          <w:p w14:paraId="5DAEB32E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121CE70C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79D86A15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7C89791D" w14:textId="77777777" w:rsidR="007310F8" w:rsidRPr="00D90064" w:rsidRDefault="007310F8" w:rsidP="007310F8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1"/>
      <w:tr w:rsidR="007310F8" w:rsidRPr="00D90064" w14:paraId="40455FD4" w14:textId="40F84652" w:rsidTr="00922F96">
        <w:trPr>
          <w:jc w:val="center"/>
        </w:trPr>
        <w:tc>
          <w:tcPr>
            <w:tcW w:w="9776" w:type="dxa"/>
            <w:gridSpan w:val="5"/>
          </w:tcPr>
          <w:p w14:paraId="0FAE8A23" w14:textId="39000FAF" w:rsidR="007310F8" w:rsidRPr="00D90064" w:rsidRDefault="007310F8" w:rsidP="007310F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Educación Ambienta</w:t>
            </w:r>
            <w:r>
              <w:rPr>
                <w:rFonts w:asciiTheme="majorHAnsi" w:hAnsiTheme="majorHAnsi" w:cstheme="majorHAnsi"/>
                <w:b/>
                <w:bCs/>
              </w:rPr>
              <w:t>l</w:t>
            </w:r>
            <w:r w:rsidRPr="000A6B56">
              <w:rPr>
                <w:rStyle w:val="Refdenotaalpie"/>
                <w:sz w:val="20"/>
                <w:szCs w:val="20"/>
              </w:rPr>
              <w:footnoteReference w:id="2"/>
            </w:r>
          </w:p>
        </w:tc>
      </w:tr>
      <w:tr w:rsidR="001B14AA" w:rsidRPr="00D90064" w14:paraId="18E6575A" w14:textId="503F8778" w:rsidTr="00922F96">
        <w:trPr>
          <w:jc w:val="center"/>
        </w:trPr>
        <w:tc>
          <w:tcPr>
            <w:tcW w:w="2747" w:type="dxa"/>
          </w:tcPr>
          <w:p w14:paraId="1E6A5292" w14:textId="7DCF1B48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4.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D900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Gestionar</w:t>
            </w:r>
            <w:r w:rsidRPr="00D900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 xml:space="preserve">eventos (los mencionados en el parámetro </w:t>
            </w:r>
            <w:r>
              <w:rPr>
                <w:rFonts w:asciiTheme="majorHAnsi" w:hAnsiTheme="majorHAnsi" w:cstheme="majorHAnsi"/>
              </w:rPr>
              <w:t xml:space="preserve">de educación ambiental </w:t>
            </w:r>
            <w:r w:rsidRPr="00D90064">
              <w:rPr>
                <w:rFonts w:asciiTheme="majorHAnsi" w:hAnsiTheme="majorHAnsi" w:cstheme="majorHAnsi"/>
              </w:rPr>
              <w:t>d</w:t>
            </w:r>
            <w:r>
              <w:rPr>
                <w:rFonts w:asciiTheme="majorHAnsi" w:hAnsiTheme="majorHAnsi" w:cstheme="majorHAnsi"/>
              </w:rPr>
              <w:t xml:space="preserve">el </w:t>
            </w:r>
            <w:r w:rsidRPr="00D90064">
              <w:rPr>
                <w:rFonts w:asciiTheme="majorHAnsi" w:hAnsiTheme="majorHAnsi" w:cstheme="majorHAnsi"/>
              </w:rPr>
              <w:t>manual</w:t>
            </w:r>
            <w:r>
              <w:rPr>
                <w:rFonts w:asciiTheme="majorHAnsi" w:hAnsiTheme="majorHAnsi" w:cstheme="majorHAnsi"/>
              </w:rPr>
              <w:t xml:space="preserve"> BAE-playas</w:t>
            </w:r>
            <w:r w:rsidRPr="00D90064">
              <w:rPr>
                <w:rFonts w:asciiTheme="majorHAnsi" w:hAnsiTheme="majorHAnsi" w:cstheme="majorHAnsi"/>
              </w:rPr>
              <w:t>) dirigidos a actores relevantes de la comunidad</w:t>
            </w:r>
            <w:r>
              <w:rPr>
                <w:rFonts w:asciiTheme="majorHAnsi" w:hAnsiTheme="majorHAnsi" w:cstheme="majorHAnsi"/>
              </w:rPr>
              <w:t xml:space="preserve"> (niños y adultos)</w:t>
            </w:r>
            <w:r w:rsidRPr="00D90064">
              <w:rPr>
                <w:rFonts w:asciiTheme="majorHAnsi" w:hAnsiTheme="majorHAnsi" w:cstheme="majorHAnsi"/>
              </w:rPr>
              <w:t xml:space="preserve"> para </w:t>
            </w:r>
            <w:r>
              <w:rPr>
                <w:rFonts w:asciiTheme="majorHAnsi" w:hAnsiTheme="majorHAnsi" w:cstheme="majorHAnsi"/>
              </w:rPr>
              <w:t>crear consciencia en materia ambiental</w:t>
            </w:r>
            <w:r w:rsidRPr="00D90064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 Pueden incluir más eventos o actividades a su criterio</w:t>
            </w:r>
            <w:r w:rsidR="001F32CE">
              <w:rPr>
                <w:rFonts w:asciiTheme="majorHAnsi" w:hAnsiTheme="majorHAnsi" w:cstheme="majorHAnsi"/>
              </w:rPr>
              <w:t>, pero no menos de 5.</w:t>
            </w:r>
          </w:p>
        </w:tc>
        <w:tc>
          <w:tcPr>
            <w:tcW w:w="1566" w:type="dxa"/>
          </w:tcPr>
          <w:p w14:paraId="46A8D10E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565B551C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6EB62144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2D7290A0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25C3BFBD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  <w:p w14:paraId="4FEE0B84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37818144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  <w:p w14:paraId="32D2C3A3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7444A32A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  <w:p w14:paraId="6FEE7178" w14:textId="7EA70FFA" w:rsidR="001B14AA" w:rsidRPr="00B61151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1780BF3D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41355529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3610E31B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40E55B26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39E6A090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  <w:p w14:paraId="5FAA9365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2DE576CA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  <w:p w14:paraId="570AE8D7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5893688E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  <w:p w14:paraId="2983FEE8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4C2C716A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6007DB07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286A8E7C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1AE8F6F4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7656A230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  <w:p w14:paraId="74990A70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2E326665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  <w:p w14:paraId="5E8F0655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  <w:p w14:paraId="2FF2DC52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  <w:p w14:paraId="47D6DCE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303CD93E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F32CE" w:rsidRPr="00D90064" w14:paraId="08154F0F" w14:textId="77777777" w:rsidTr="00922F96">
        <w:trPr>
          <w:jc w:val="center"/>
        </w:trPr>
        <w:tc>
          <w:tcPr>
            <w:tcW w:w="2747" w:type="dxa"/>
          </w:tcPr>
          <w:p w14:paraId="55C472F5" w14:textId="7995A0FC" w:rsidR="001F32CE" w:rsidRPr="00D90064" w:rsidRDefault="001F32CE" w:rsidP="001F32CE">
            <w:pPr>
              <w:ind w:left="171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F32CE">
              <w:rPr>
                <w:rFonts w:asciiTheme="majorHAnsi" w:hAnsiTheme="majorHAnsi" w:cstheme="majorHAnsi"/>
                <w:b/>
                <w:bCs/>
              </w:rPr>
              <w:t>4.2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A</w:t>
            </w:r>
            <w:r w:rsidRPr="00EC13AD">
              <w:rPr>
                <w:rFonts w:asciiTheme="majorHAnsi" w:hAnsiTheme="majorHAnsi" w:cstheme="majorHAnsi"/>
                <w:sz w:val="24"/>
                <w:szCs w:val="24"/>
              </w:rPr>
              <w:t xml:space="preserve">plicación de una estrategia efectiva para el control y disminución </w:t>
            </w:r>
            <w:r w:rsidRPr="001F32CE">
              <w:rPr>
                <w:rFonts w:asciiTheme="majorHAnsi" w:hAnsiTheme="majorHAnsi" w:cstheme="majorHAnsi"/>
                <w:sz w:val="24"/>
                <w:szCs w:val="24"/>
              </w:rPr>
              <w:t>(gestión)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EC13AD">
              <w:rPr>
                <w:rFonts w:asciiTheme="majorHAnsi" w:hAnsiTheme="majorHAnsi" w:cstheme="majorHAnsi"/>
                <w:sz w:val="24"/>
                <w:szCs w:val="24"/>
              </w:rPr>
              <w:t>de los plásticos en la playa.</w:t>
            </w:r>
          </w:p>
        </w:tc>
        <w:tc>
          <w:tcPr>
            <w:tcW w:w="1566" w:type="dxa"/>
          </w:tcPr>
          <w:p w14:paraId="6C7B0A47" w14:textId="77777777" w:rsidR="001F32CE" w:rsidRDefault="001F32CE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47462780" w14:textId="77777777" w:rsidR="001F32CE" w:rsidRDefault="001F32CE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69662DF1" w14:textId="77777777" w:rsidR="001F32CE" w:rsidRDefault="001F32CE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0FFD6B98" w14:textId="77777777" w:rsidR="001F32CE" w:rsidRPr="00D90064" w:rsidRDefault="001F32CE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1147A12C" w14:textId="77777777" w:rsidTr="00922F96">
        <w:trPr>
          <w:jc w:val="center"/>
        </w:trPr>
        <w:tc>
          <w:tcPr>
            <w:tcW w:w="2747" w:type="dxa"/>
          </w:tcPr>
          <w:p w14:paraId="5F39C249" w14:textId="2C8FA729" w:rsidR="001B14AA" w:rsidRPr="001F32CE" w:rsidRDefault="001B14AA" w:rsidP="001F32CE">
            <w:pPr>
              <w:pStyle w:val="TableParagraph"/>
              <w:spacing w:line="276" w:lineRule="exact"/>
              <w:ind w:left="107" w:right="99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4.</w:t>
            </w:r>
            <w:r w:rsidR="001F32CE">
              <w:rPr>
                <w:rFonts w:asciiTheme="majorHAnsi" w:hAnsiTheme="majorHAnsi" w:cstheme="majorHAnsi"/>
                <w:b/>
                <w:bCs/>
              </w:rPr>
              <w:t>3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F32CE">
              <w:rPr>
                <w:rFonts w:asciiTheme="majorHAnsi" w:hAnsiTheme="majorHAnsi" w:cstheme="majorHAnsi"/>
                <w:sz w:val="24"/>
                <w:szCs w:val="24"/>
              </w:rPr>
              <w:t>Ejecución</w:t>
            </w:r>
            <w:r w:rsidR="001F32C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1F32CE" w:rsidRPr="001F32CE">
              <w:rPr>
                <w:rFonts w:asciiTheme="majorHAnsi" w:hAnsiTheme="majorHAnsi" w:cstheme="majorHAnsi"/>
                <w:sz w:val="24"/>
                <w:szCs w:val="24"/>
              </w:rPr>
              <w:t xml:space="preserve">al menos 2 </w:t>
            </w:r>
            <w:r w:rsidR="001F32CE">
              <w:rPr>
                <w:rFonts w:asciiTheme="majorHAnsi" w:hAnsiTheme="majorHAnsi" w:cstheme="majorHAnsi"/>
                <w:sz w:val="24"/>
                <w:szCs w:val="24"/>
              </w:rPr>
              <w:t>actividades que generen con</w:t>
            </w:r>
            <w:r w:rsidR="001F32CE" w:rsidRPr="001F32CE">
              <w:rPr>
                <w:rFonts w:asciiTheme="majorHAnsi" w:hAnsiTheme="majorHAnsi" w:cstheme="majorHAnsi"/>
                <w:sz w:val="24"/>
                <w:szCs w:val="24"/>
              </w:rPr>
              <w:t>ci</w:t>
            </w:r>
            <w:r w:rsidR="001F32CE">
              <w:rPr>
                <w:rFonts w:asciiTheme="majorHAnsi" w:hAnsiTheme="majorHAnsi" w:cstheme="majorHAnsi"/>
                <w:sz w:val="24"/>
                <w:szCs w:val="24"/>
              </w:rPr>
              <w:t>encia ambiental sobre el impacto que generan los plásticos en los ecosistemas marino-costeros.</w:t>
            </w:r>
            <w:r w:rsidR="001F32CE">
              <w:rPr>
                <w:rFonts w:asciiTheme="majorHAnsi" w:hAnsiTheme="majorHAnsi" w:cstheme="majorHAnsi"/>
              </w:rPr>
              <w:t xml:space="preserve"> </w:t>
            </w:r>
            <w:r w:rsidR="001F32CE">
              <w:rPr>
                <w:rFonts w:asciiTheme="majorHAnsi" w:hAnsiTheme="majorHAnsi" w:cstheme="majorHAnsi"/>
              </w:rPr>
              <w:t>Pueden incluir más eventos o actividades a su criterio.</w:t>
            </w:r>
          </w:p>
        </w:tc>
        <w:tc>
          <w:tcPr>
            <w:tcW w:w="1566" w:type="dxa"/>
          </w:tcPr>
          <w:p w14:paraId="4BBEC1A6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7017EA66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</w:p>
          <w:p w14:paraId="608836E0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45DF5F08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4DD9F7D8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3E060225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</w:p>
          <w:p w14:paraId="078D15C5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254DA10E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6313BFE3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14:paraId="07B55337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</w:p>
          <w:p w14:paraId="52462019" w14:textId="77777777" w:rsidR="001F32CE" w:rsidRDefault="001F32CE" w:rsidP="001F32CE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14:paraId="2E286630" w14:textId="77777777" w:rsidR="001B14AA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5EE4F995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1A8A345C" w14:textId="77777777" w:rsidTr="00234B61">
        <w:trPr>
          <w:jc w:val="center"/>
        </w:trPr>
        <w:tc>
          <w:tcPr>
            <w:tcW w:w="9776" w:type="dxa"/>
            <w:gridSpan w:val="5"/>
          </w:tcPr>
          <w:p w14:paraId="1DE2A2BF" w14:textId="1A94CAA7" w:rsidR="001B14AA" w:rsidRPr="00360F9C" w:rsidRDefault="001B14AA" w:rsidP="001B14AA">
            <w:pPr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360F9C">
              <w:rPr>
                <w:rFonts w:asciiTheme="majorHAnsi" w:hAnsiTheme="majorHAnsi" w:cstheme="majorHAnsi"/>
                <w:b/>
                <w:bCs/>
                <w:i/>
                <w:iCs/>
              </w:rPr>
              <w:t>Consideración importante:</w:t>
            </w:r>
            <w:r w:rsidRPr="00360F9C">
              <w:rPr>
                <w:rFonts w:asciiTheme="majorHAnsi" w:hAnsiTheme="majorHAnsi" w:cstheme="majorHAnsi"/>
                <w:i/>
                <w:iCs/>
              </w:rPr>
              <w:t xml:space="preserve"> Favor indicar un responsable </w:t>
            </w:r>
            <w:r>
              <w:rPr>
                <w:rFonts w:asciiTheme="majorHAnsi" w:hAnsiTheme="majorHAnsi" w:cstheme="majorHAnsi"/>
                <w:i/>
                <w:iCs/>
              </w:rPr>
              <w:t xml:space="preserve">y fecha de realización </w:t>
            </w:r>
            <w:r w:rsidRPr="00360F9C">
              <w:rPr>
                <w:rFonts w:asciiTheme="majorHAnsi" w:hAnsiTheme="majorHAnsi" w:cstheme="majorHAnsi"/>
                <w:i/>
                <w:iCs/>
              </w:rPr>
              <w:t>por cada actividad ambiental incluida en este plan.</w:t>
            </w:r>
          </w:p>
        </w:tc>
      </w:tr>
      <w:tr w:rsidR="001B14AA" w:rsidRPr="00D90064" w14:paraId="4FAF3305" w14:textId="1DB22550" w:rsidTr="00922F96">
        <w:trPr>
          <w:jc w:val="center"/>
        </w:trPr>
        <w:tc>
          <w:tcPr>
            <w:tcW w:w="9776" w:type="dxa"/>
            <w:gridSpan w:val="5"/>
          </w:tcPr>
          <w:p w14:paraId="564E34B8" w14:textId="09D9B73A" w:rsidR="001B14AA" w:rsidRPr="00D90064" w:rsidRDefault="001B14AA" w:rsidP="001B14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lastRenderedPageBreak/>
              <w:t>Seguridad</w:t>
            </w:r>
          </w:p>
        </w:tc>
      </w:tr>
      <w:tr w:rsidR="001B14AA" w:rsidRPr="00D90064" w14:paraId="335E26E8" w14:textId="11495BB3" w:rsidTr="00922F96">
        <w:trPr>
          <w:jc w:val="center"/>
        </w:trPr>
        <w:tc>
          <w:tcPr>
            <w:tcW w:w="2747" w:type="dxa"/>
          </w:tcPr>
          <w:p w14:paraId="0F452E12" w14:textId="0215D996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5.1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 xml:space="preserve">Colocar rótulos que </w:t>
            </w:r>
            <w:r>
              <w:rPr>
                <w:rFonts w:asciiTheme="majorHAnsi" w:hAnsiTheme="majorHAnsi" w:cstheme="majorHAnsi"/>
              </w:rPr>
              <w:t>adviertan a los visitantes sobre</w:t>
            </w:r>
            <w:r w:rsidRPr="00D90064">
              <w:rPr>
                <w:rFonts w:asciiTheme="majorHAnsi" w:hAnsiTheme="majorHAnsi" w:cstheme="majorHAnsi"/>
              </w:rPr>
              <w:t xml:space="preserve"> corrientes peligrosas, zonas rocosas y cuidados en general en la playa, según su naturaleza.</w:t>
            </w:r>
          </w:p>
        </w:tc>
        <w:tc>
          <w:tcPr>
            <w:tcW w:w="1566" w:type="dxa"/>
          </w:tcPr>
          <w:p w14:paraId="6C05278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1CCB4336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3CDE332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464FA83C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0E2AFFCF" w14:textId="78F5E733" w:rsidTr="00922F96">
        <w:trPr>
          <w:jc w:val="center"/>
        </w:trPr>
        <w:tc>
          <w:tcPr>
            <w:tcW w:w="2747" w:type="dxa"/>
          </w:tcPr>
          <w:p w14:paraId="3E0758CA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5.2</w:t>
            </w:r>
            <w:r w:rsidRPr="00D900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Colocar rótulos que adviertan sobre la presencia de especies biológicas que representen algún peligro para el visitante.</w:t>
            </w:r>
          </w:p>
        </w:tc>
        <w:tc>
          <w:tcPr>
            <w:tcW w:w="1566" w:type="dxa"/>
          </w:tcPr>
          <w:p w14:paraId="3AE6144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27A59C6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176EBBE5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0CB394D4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60017528" w14:textId="606141E2" w:rsidTr="00922F96">
        <w:trPr>
          <w:jc w:val="center"/>
        </w:trPr>
        <w:tc>
          <w:tcPr>
            <w:tcW w:w="2747" w:type="dxa"/>
          </w:tcPr>
          <w:p w14:paraId="22A463D8" w14:textId="62C6EB8D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5.3</w:t>
            </w:r>
            <w:r w:rsidRPr="00D900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 xml:space="preserve">Colocar rótulos </w:t>
            </w:r>
            <w:r>
              <w:rPr>
                <w:rFonts w:asciiTheme="majorHAnsi" w:hAnsiTheme="majorHAnsi" w:cstheme="majorHAnsi"/>
              </w:rPr>
              <w:t>alusivos a servicios esenciales (depósito de residuos, zonas para acampar, etc.) en la playa.</w:t>
            </w:r>
          </w:p>
        </w:tc>
        <w:tc>
          <w:tcPr>
            <w:tcW w:w="1566" w:type="dxa"/>
          </w:tcPr>
          <w:p w14:paraId="17971F6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1B9D56CA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7E175414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0E297623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1682B408" w14:textId="6B09F621" w:rsidTr="00922F96">
        <w:trPr>
          <w:jc w:val="center"/>
        </w:trPr>
        <w:tc>
          <w:tcPr>
            <w:tcW w:w="9776" w:type="dxa"/>
            <w:gridSpan w:val="5"/>
          </w:tcPr>
          <w:p w14:paraId="78344EEA" w14:textId="1632358E" w:rsidR="001B14AA" w:rsidRPr="00D90064" w:rsidRDefault="001B14AA" w:rsidP="001B14AA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90064">
              <w:rPr>
                <w:rFonts w:asciiTheme="majorHAnsi" w:hAnsiTheme="majorHAnsi" w:cstheme="majorHAnsi"/>
                <w:b/>
                <w:bCs/>
              </w:rPr>
              <w:t>Administración</w:t>
            </w:r>
          </w:p>
        </w:tc>
      </w:tr>
      <w:tr w:rsidR="001B14AA" w:rsidRPr="00D90064" w14:paraId="1171AD09" w14:textId="09C45BD3" w:rsidTr="00922F96">
        <w:trPr>
          <w:jc w:val="center"/>
        </w:trPr>
        <w:tc>
          <w:tcPr>
            <w:tcW w:w="2747" w:type="dxa"/>
          </w:tcPr>
          <w:p w14:paraId="2F416715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6.1</w:t>
            </w:r>
            <w:r w:rsidRPr="00D90064">
              <w:rPr>
                <w:rFonts w:asciiTheme="majorHAnsi" w:hAnsiTheme="majorHAnsi" w:cstheme="majorHAnsi"/>
              </w:rPr>
              <w:t xml:space="preserve"> Presentar el plan anual de trabajo.</w:t>
            </w:r>
          </w:p>
        </w:tc>
        <w:tc>
          <w:tcPr>
            <w:tcW w:w="1566" w:type="dxa"/>
          </w:tcPr>
          <w:p w14:paraId="7B1C51B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0878B9F2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1A823D2D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4D036805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78B6C09B" w14:textId="16BA74C4" w:rsidTr="00922F96">
        <w:trPr>
          <w:jc w:val="center"/>
        </w:trPr>
        <w:tc>
          <w:tcPr>
            <w:tcW w:w="2747" w:type="dxa"/>
          </w:tcPr>
          <w:p w14:paraId="5107E2E6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6.2</w:t>
            </w:r>
            <w:r w:rsidRPr="00D9006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90064">
              <w:rPr>
                <w:rFonts w:asciiTheme="majorHAnsi" w:hAnsiTheme="majorHAnsi" w:cstheme="majorHAnsi"/>
              </w:rPr>
              <w:t>Presentar   el   libro   de   actas actualizado y completo.</w:t>
            </w:r>
          </w:p>
        </w:tc>
        <w:tc>
          <w:tcPr>
            <w:tcW w:w="1566" w:type="dxa"/>
          </w:tcPr>
          <w:p w14:paraId="369866F9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0FB33AFF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69EB08A0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0A1E3ABB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1B14AA" w:rsidRPr="00D90064" w14:paraId="523790DF" w14:textId="44BFBBE6" w:rsidTr="00922F96">
        <w:trPr>
          <w:jc w:val="center"/>
        </w:trPr>
        <w:tc>
          <w:tcPr>
            <w:tcW w:w="2747" w:type="dxa"/>
          </w:tcPr>
          <w:p w14:paraId="1607FC63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6.3</w:t>
            </w:r>
            <w:r w:rsidRPr="00D90064">
              <w:rPr>
                <w:rFonts w:asciiTheme="majorHAnsi" w:hAnsiTheme="majorHAnsi" w:cstheme="majorHAnsi"/>
              </w:rPr>
              <w:t xml:space="preserve"> Presentar el informe final.</w:t>
            </w:r>
          </w:p>
        </w:tc>
        <w:tc>
          <w:tcPr>
            <w:tcW w:w="1566" w:type="dxa"/>
          </w:tcPr>
          <w:p w14:paraId="4B6A2207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673" w:type="dxa"/>
          </w:tcPr>
          <w:p w14:paraId="41A84BFF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61" w:type="dxa"/>
          </w:tcPr>
          <w:p w14:paraId="70784D3A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629" w:type="dxa"/>
          </w:tcPr>
          <w:p w14:paraId="0A984797" w14:textId="77777777" w:rsidR="001B14AA" w:rsidRPr="00D90064" w:rsidRDefault="001B14AA" w:rsidP="001B14A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59CE36E7" w14:textId="77777777" w:rsidR="00236265" w:rsidRDefault="00236265"/>
    <w:sectPr w:rsidR="00236265" w:rsidSect="005D57B4">
      <w:headerReference w:type="default" r:id="rId8"/>
      <w:pgSz w:w="12240" w:h="15840"/>
      <w:pgMar w:top="1985" w:right="720" w:bottom="851" w:left="72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06500" w14:textId="77777777" w:rsidR="005D57B4" w:rsidRDefault="005D57B4" w:rsidP="00C95DC7">
      <w:r>
        <w:separator/>
      </w:r>
    </w:p>
  </w:endnote>
  <w:endnote w:type="continuationSeparator" w:id="0">
    <w:p w14:paraId="18255C68" w14:textId="77777777" w:rsidR="005D57B4" w:rsidRDefault="005D57B4" w:rsidP="00C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E1A2" w14:textId="77777777" w:rsidR="005D57B4" w:rsidRDefault="005D57B4" w:rsidP="00C95DC7">
      <w:r>
        <w:separator/>
      </w:r>
    </w:p>
  </w:footnote>
  <w:footnote w:type="continuationSeparator" w:id="0">
    <w:p w14:paraId="62EE6D21" w14:textId="77777777" w:rsidR="005D57B4" w:rsidRDefault="005D57B4" w:rsidP="00C95DC7">
      <w:r>
        <w:continuationSeparator/>
      </w:r>
    </w:p>
  </w:footnote>
  <w:footnote w:id="1">
    <w:p w14:paraId="71451DEF" w14:textId="3EFA5B1A" w:rsidR="007310F8" w:rsidRPr="00922F96" w:rsidRDefault="007310F8">
      <w:pPr>
        <w:pStyle w:val="Textonotapie"/>
        <w:rPr>
          <w:sz w:val="14"/>
          <w:szCs w:val="14"/>
        </w:rPr>
      </w:pPr>
      <w:r w:rsidRPr="00922F96">
        <w:rPr>
          <w:rStyle w:val="Refdenotaalpie"/>
          <w:sz w:val="14"/>
          <w:szCs w:val="14"/>
        </w:rPr>
        <w:footnoteRef/>
      </w:r>
      <w:r w:rsidRPr="00922F96">
        <w:rPr>
          <w:sz w:val="14"/>
          <w:szCs w:val="14"/>
        </w:rPr>
        <w:t xml:space="preserve"> Se deberá presentar evidencia de lo correspondiente para el cumplimiento de los puntos 3.1.2 y 3.2.2.</w:t>
      </w:r>
    </w:p>
  </w:footnote>
  <w:footnote w:id="2">
    <w:p w14:paraId="38BD9CF2" w14:textId="25B539CF" w:rsidR="007310F8" w:rsidRPr="00922F96" w:rsidRDefault="007310F8" w:rsidP="00922F96">
      <w:pPr>
        <w:pStyle w:val="Textonotapie"/>
        <w:ind w:right="594"/>
        <w:rPr>
          <w:sz w:val="14"/>
          <w:szCs w:val="14"/>
          <w:lang w:val="es-MX"/>
        </w:rPr>
      </w:pPr>
      <w:r w:rsidRPr="00922F96">
        <w:rPr>
          <w:sz w:val="14"/>
          <w:szCs w:val="14"/>
        </w:rPr>
        <w:footnoteRef/>
      </w:r>
      <w:r w:rsidRPr="00922F96">
        <w:rPr>
          <w:sz w:val="14"/>
          <w:szCs w:val="14"/>
        </w:rPr>
        <w:t xml:space="preserve"> Se debe</w:t>
      </w:r>
      <w:r w:rsidR="001B14AA">
        <w:rPr>
          <w:sz w:val="14"/>
          <w:szCs w:val="14"/>
        </w:rPr>
        <w:t>n</w:t>
      </w:r>
      <w:r w:rsidRPr="00922F96">
        <w:rPr>
          <w:sz w:val="14"/>
          <w:szCs w:val="14"/>
        </w:rPr>
        <w:t xml:space="preserve"> realizar al menos </w:t>
      </w:r>
      <w:r w:rsidR="001B14AA">
        <w:rPr>
          <w:sz w:val="14"/>
          <w:szCs w:val="14"/>
        </w:rPr>
        <w:t>5</w:t>
      </w:r>
      <w:r w:rsidRPr="00922F96">
        <w:rPr>
          <w:sz w:val="14"/>
          <w:szCs w:val="14"/>
        </w:rPr>
        <w:t xml:space="preserve"> actividades de educación ambiental al año</w:t>
      </w:r>
      <w:r w:rsidR="001F32CE">
        <w:rPr>
          <w:sz w:val="14"/>
          <w:szCs w:val="14"/>
        </w:rPr>
        <w:t xml:space="preserve"> y 2 actividades de educación ambiental sobre el impacto del plástico en las playas</w:t>
      </w:r>
      <w:r w:rsidRPr="00922F96">
        <w:rPr>
          <w:sz w:val="14"/>
          <w:szCs w:val="14"/>
        </w:rPr>
        <w:t>, las cuales deben ser</w:t>
      </w:r>
      <w:r w:rsidR="001B14AA">
        <w:rPr>
          <w:sz w:val="14"/>
          <w:szCs w:val="14"/>
        </w:rPr>
        <w:t xml:space="preserve"> claramente especificadas</w:t>
      </w:r>
      <w:r w:rsidRPr="00922F96">
        <w:rPr>
          <w:sz w:val="14"/>
          <w:szCs w:val="14"/>
        </w:rPr>
        <w:t xml:space="preserve"> indicadas en </w:t>
      </w:r>
      <w:r w:rsidR="001B14AA">
        <w:rPr>
          <w:sz w:val="14"/>
          <w:szCs w:val="14"/>
        </w:rPr>
        <w:t>este documento</w:t>
      </w:r>
      <w:r w:rsidRPr="00922F96">
        <w:rPr>
          <w:sz w:val="14"/>
          <w:szCs w:val="14"/>
        </w:rPr>
        <w:t xml:space="preserve"> y debidamente documentadas en el informe final.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C225" w14:textId="5EBDEDAC" w:rsidR="00737AD5" w:rsidRDefault="00922F96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753CADC" wp14:editId="70A908C6">
          <wp:simplePos x="0" y="0"/>
          <wp:positionH relativeFrom="margin">
            <wp:posOffset>333375</wp:posOffset>
          </wp:positionH>
          <wp:positionV relativeFrom="paragraph">
            <wp:posOffset>-363855</wp:posOffset>
          </wp:positionV>
          <wp:extent cx="1314450" cy="1088366"/>
          <wp:effectExtent l="0" t="0" r="0" b="0"/>
          <wp:wrapNone/>
          <wp:docPr id="12684727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314057" name="Imagen 19543140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88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8E5"/>
    <w:multiLevelType w:val="multilevel"/>
    <w:tmpl w:val="C7B4EE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18801D29"/>
    <w:multiLevelType w:val="hybridMultilevel"/>
    <w:tmpl w:val="AA5C19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8040B"/>
    <w:multiLevelType w:val="hybridMultilevel"/>
    <w:tmpl w:val="AA5C1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657865">
    <w:abstractNumId w:val="0"/>
  </w:num>
  <w:num w:numId="2" w16cid:durableId="1547599260">
    <w:abstractNumId w:val="1"/>
  </w:num>
  <w:num w:numId="3" w16cid:durableId="1472401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C7"/>
    <w:rsid w:val="00116B13"/>
    <w:rsid w:val="001B14AA"/>
    <w:rsid w:val="001F32CE"/>
    <w:rsid w:val="0021229B"/>
    <w:rsid w:val="00236265"/>
    <w:rsid w:val="00360F9C"/>
    <w:rsid w:val="003961F3"/>
    <w:rsid w:val="00492532"/>
    <w:rsid w:val="004A1280"/>
    <w:rsid w:val="005B16E2"/>
    <w:rsid w:val="005D57B4"/>
    <w:rsid w:val="007310F8"/>
    <w:rsid w:val="00737AD5"/>
    <w:rsid w:val="008105B4"/>
    <w:rsid w:val="00873969"/>
    <w:rsid w:val="00922F96"/>
    <w:rsid w:val="00965813"/>
    <w:rsid w:val="00A842C4"/>
    <w:rsid w:val="00B61151"/>
    <w:rsid w:val="00C3296A"/>
    <w:rsid w:val="00C95DC7"/>
    <w:rsid w:val="00D0641C"/>
    <w:rsid w:val="00E541DC"/>
    <w:rsid w:val="00F53E01"/>
    <w:rsid w:val="00FA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90731"/>
  <w15:chartTrackingRefBased/>
  <w15:docId w15:val="{1DEA1840-CF92-4405-AF33-6AE7E574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C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DC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9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5DC7"/>
  </w:style>
  <w:style w:type="paragraph" w:styleId="Textonotapie">
    <w:name w:val="footnote text"/>
    <w:basedOn w:val="Normal"/>
    <w:link w:val="TextonotapieCar"/>
    <w:uiPriority w:val="99"/>
    <w:semiHidden/>
    <w:unhideWhenUsed/>
    <w:rsid w:val="00C95D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DC7"/>
    <w:rPr>
      <w:rFonts w:ascii="Tahoma" w:eastAsia="Tahoma" w:hAnsi="Tahoma" w:cs="Tahoma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95DC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3E0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3E01"/>
    <w:rPr>
      <w:rFonts w:ascii="Tahoma" w:eastAsia="Tahoma" w:hAnsi="Tahoma" w:cs="Tahoma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F53E0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37A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AD5"/>
    <w:rPr>
      <w:rFonts w:ascii="Tahoma" w:eastAsia="Tahoma" w:hAnsi="Tahoma" w:cs="Tahom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7A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AD5"/>
    <w:rPr>
      <w:rFonts w:ascii="Tahoma" w:eastAsia="Tahoma" w:hAnsi="Tahoma" w:cs="Tahoma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t.go.cr/es/sostenibilidad/bandera-azul.html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A3BF-7CCD-4EDD-B79E-45B0BD7D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702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 HERNANDEZ</dc:creator>
  <cp:keywords/>
  <dc:description/>
  <cp:lastModifiedBy>MARIA JOSE  HERNANDEZ</cp:lastModifiedBy>
  <cp:revision>4</cp:revision>
  <dcterms:created xsi:type="dcterms:W3CDTF">2024-01-16T15:55:00Z</dcterms:created>
  <dcterms:modified xsi:type="dcterms:W3CDTF">2024-01-17T15:52:00Z</dcterms:modified>
</cp:coreProperties>
</file>